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D1077">
      <w:pPr>
        <w:rPr>
          <w:rFonts w:hint="eastAsia" w:ascii="黑体" w:hAnsi="黑体" w:eastAsia="黑体" w:cs="黑体"/>
          <w:b w:val="0"/>
          <w:sz w:val="32"/>
          <w:szCs w:val="32"/>
          <w:lang w:val="en-US" w:eastAsia="zh-CN"/>
        </w:rPr>
      </w:pPr>
      <w:bookmarkStart w:id="0" w:name="_GoBack"/>
      <w:bookmarkEnd w:id="0"/>
      <w:r>
        <w:rPr>
          <w:rFonts w:hint="eastAsia" w:ascii="黑体" w:hAnsi="黑体" w:eastAsia="黑体" w:cs="黑体"/>
          <w:b w:val="0"/>
          <w:sz w:val="32"/>
          <w:szCs w:val="32"/>
          <w:lang w:eastAsia="zh-CN"/>
        </w:rPr>
        <w:t>附件</w:t>
      </w:r>
      <w:r>
        <w:rPr>
          <w:rFonts w:hint="eastAsia" w:ascii="黑体" w:hAnsi="黑体" w:eastAsia="黑体" w:cs="黑体"/>
          <w:b w:val="0"/>
          <w:sz w:val="32"/>
          <w:szCs w:val="32"/>
          <w:lang w:val="en-US" w:eastAsia="zh-CN"/>
        </w:rPr>
        <w:t>1</w:t>
      </w:r>
    </w:p>
    <w:tbl>
      <w:tblPr>
        <w:tblStyle w:val="32"/>
        <w:tblW w:w="119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7020"/>
        <w:gridCol w:w="1425"/>
        <w:gridCol w:w="2385"/>
      </w:tblGrid>
      <w:tr w14:paraId="31F91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910" w:type="dxa"/>
            <w:gridSpan w:val="4"/>
            <w:tcBorders>
              <w:top w:val="nil"/>
              <w:left w:val="nil"/>
              <w:bottom w:val="nil"/>
              <w:right w:val="nil"/>
            </w:tcBorders>
            <w:shd w:val="clear" w:color="auto" w:fill="auto"/>
            <w:vAlign w:val="center"/>
          </w:tcPr>
          <w:p w14:paraId="0D28F42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第二届京津冀蒙课程思政教学比赛校赛网络评审成绩汇总表</w:t>
            </w:r>
          </w:p>
        </w:tc>
      </w:tr>
      <w:tr w14:paraId="540F3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BE4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排名</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AF0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作品名称</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0EB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主讲选手</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D30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所在院系</w:t>
            </w:r>
          </w:p>
        </w:tc>
      </w:tr>
      <w:tr w14:paraId="3702B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C54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7DE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ESG 视角下上市公司投资价值分析——以长城汽车为例</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C63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李冬雪</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F77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经济学院</w:t>
            </w:r>
          </w:p>
        </w:tc>
      </w:tr>
      <w:tr w14:paraId="585CC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09E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EACC">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Python程序设计</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D63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刘克</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A83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信息科学与工程学院</w:t>
            </w:r>
          </w:p>
        </w:tc>
      </w:tr>
      <w:tr w14:paraId="1C6E6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6A4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C77F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SUM与AVERAGE函数的应用——解码三北工程的绿色奇迹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E53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刘斐琪</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B68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信息科学与工程学院</w:t>
            </w:r>
          </w:p>
        </w:tc>
      </w:tr>
      <w:tr w14:paraId="07540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C5CD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A92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楼梯结构设计</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A02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朱继宁</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83E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资源与工程技术学院</w:t>
            </w:r>
          </w:p>
        </w:tc>
      </w:tr>
      <w:tr w14:paraId="0FDBB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A4A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BC0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《综合教程4》Unit 2 Alienation and the Internet</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A30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马鸥</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E12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语言与文化传播学院</w:t>
            </w:r>
          </w:p>
        </w:tc>
      </w:tr>
      <w:tr w14:paraId="060CB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8A5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A778">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从“情绪奴隶”到“人生主角”的蜕变——大学生心理健康课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537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李文婉</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8AE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教育学院</w:t>
            </w:r>
          </w:p>
        </w:tc>
      </w:tr>
      <w:tr w14:paraId="1CCD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26A6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589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应纳税所得额计算-从税法刚性到惠民温情</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448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王焕</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A27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会计学院</w:t>
            </w:r>
          </w:p>
        </w:tc>
      </w:tr>
      <w:tr w14:paraId="15861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86F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5725">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固定资产折旧</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3CD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董赛兰</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250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会计学院</w:t>
            </w:r>
          </w:p>
        </w:tc>
      </w:tr>
      <w:tr w14:paraId="316C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1E6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D4C0">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进程调度与社会公平</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945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于昕彤</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D8E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信息科学与工程学院</w:t>
            </w:r>
          </w:p>
        </w:tc>
      </w:tr>
      <w:tr w14:paraId="6C29B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99C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610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短视频策划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95C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赵丽佳</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90F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艺术学院</w:t>
            </w:r>
          </w:p>
        </w:tc>
      </w:tr>
      <w:tr w14:paraId="3D882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5C33">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7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3AC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现当代文学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22AE">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苏畅</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9D32">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教育学院</w:t>
            </w:r>
          </w:p>
        </w:tc>
      </w:tr>
    </w:tbl>
    <w:p w14:paraId="5A399CE8">
      <w:pPr>
        <w:rPr>
          <w:rFonts w:hint="eastAsia" w:ascii="黑体" w:hAnsi="黑体" w:eastAsia="黑体" w:cs="黑体"/>
          <w:b w:val="0"/>
          <w:sz w:val="32"/>
          <w:szCs w:val="32"/>
          <w:lang w:val="en-US" w:eastAsia="zh-CN"/>
        </w:rPr>
        <w:sectPr>
          <w:footerReference r:id="rId5" w:type="default"/>
          <w:pgSz w:w="16838" w:h="11906" w:orient="landscape"/>
          <w:pgMar w:top="1587" w:right="2098" w:bottom="1474" w:left="1984" w:header="720" w:footer="720" w:gutter="0"/>
          <w:pgNumType w:fmt="numberInDash"/>
          <w:cols w:space="720" w:num="1"/>
          <w:docGrid w:linePitch="360" w:charSpace="0"/>
        </w:sectPr>
      </w:pPr>
    </w:p>
    <w:p w14:paraId="13B4E773">
      <w:pPr>
        <w:rPr>
          <w:rFonts w:hint="eastAsia" w:ascii="黑体" w:hAnsi="黑体" w:eastAsia="黑体" w:cs="黑体"/>
          <w:b w:val="0"/>
          <w:sz w:val="32"/>
          <w:szCs w:val="32"/>
          <w:lang w:val="en-US" w:eastAsia="zh-CN"/>
        </w:rPr>
      </w:pPr>
      <w:r>
        <w:rPr>
          <w:rFonts w:hint="eastAsia" w:ascii="黑体" w:hAnsi="黑体" w:eastAsia="黑体" w:cs="黑体"/>
          <w:b w:val="0"/>
          <w:sz w:val="32"/>
          <w:szCs w:val="32"/>
          <w:lang w:val="en-US" w:eastAsia="zh-CN"/>
        </w:rPr>
        <w:t>附件2</w:t>
      </w:r>
    </w:p>
    <w:p w14:paraId="0894859C">
      <w:pPr>
        <w:widowControl w:val="0"/>
        <w:spacing w:before="35" w:after="14"/>
        <w:ind w:left="162"/>
        <w:jc w:val="both"/>
        <w:rPr>
          <w:rFonts w:ascii="楷体" w:hAnsi="楷体" w:eastAsia="楷体" w:cs="楷体"/>
          <w:color w:val="auto"/>
          <w:kern w:val="2"/>
          <w:sz w:val="32"/>
          <w:szCs w:val="32"/>
          <w:lang w:val="en-US" w:eastAsia="zh-CN" w:bidi="ar-SA"/>
        </w:rPr>
      </w:pPr>
      <w:r>
        <w:rPr>
          <w:rFonts w:hint="eastAsia" w:ascii="楷体" w:hAnsi="楷体" w:eastAsia="楷体" w:cs="楷体"/>
          <w:color w:val="auto"/>
          <w:kern w:val="2"/>
          <w:sz w:val="32"/>
          <w:szCs w:val="32"/>
          <w:lang w:val="en-US" w:eastAsia="zh-CN" w:bidi="ar-SA"/>
        </w:rPr>
        <w:t>教学展示评分标准（100分）</w:t>
      </w:r>
    </w:p>
    <w:tbl>
      <w:tblPr>
        <w:tblStyle w:val="32"/>
        <w:tblW w:w="8770" w:type="dxa"/>
        <w:tblInd w:w="-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8"/>
        <w:gridCol w:w="6562"/>
        <w:gridCol w:w="900"/>
      </w:tblGrid>
      <w:tr w14:paraId="3DABE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08" w:type="dxa"/>
            <w:noWrap w:val="0"/>
            <w:vAlign w:val="center"/>
          </w:tcPr>
          <w:p w14:paraId="7CA5C792">
            <w:pPr>
              <w:pStyle w:val="164"/>
              <w:spacing w:line="360" w:lineRule="exact"/>
              <w:jc w:val="center"/>
              <w:rPr>
                <w:b/>
                <w:color w:val="auto"/>
                <w:sz w:val="24"/>
              </w:rPr>
            </w:pPr>
            <w:r>
              <w:rPr>
                <w:rFonts w:hint="eastAsia"/>
                <w:b/>
                <w:color w:val="auto"/>
                <w:sz w:val="24"/>
              </w:rPr>
              <w:t>评价指标</w:t>
            </w:r>
          </w:p>
        </w:tc>
        <w:tc>
          <w:tcPr>
            <w:tcW w:w="6562" w:type="dxa"/>
            <w:noWrap w:val="0"/>
            <w:vAlign w:val="center"/>
          </w:tcPr>
          <w:p w14:paraId="3D6A9A16">
            <w:pPr>
              <w:pStyle w:val="164"/>
              <w:spacing w:line="360" w:lineRule="exact"/>
              <w:jc w:val="center"/>
              <w:rPr>
                <w:b/>
                <w:color w:val="auto"/>
                <w:sz w:val="24"/>
              </w:rPr>
            </w:pPr>
            <w:r>
              <w:rPr>
                <w:rFonts w:hint="eastAsia"/>
                <w:b/>
                <w:color w:val="auto"/>
                <w:sz w:val="24"/>
              </w:rPr>
              <w:t>具体内容</w:t>
            </w:r>
          </w:p>
        </w:tc>
        <w:tc>
          <w:tcPr>
            <w:tcW w:w="900" w:type="dxa"/>
            <w:noWrap w:val="0"/>
            <w:vAlign w:val="center"/>
          </w:tcPr>
          <w:p w14:paraId="39C126F2">
            <w:pPr>
              <w:pStyle w:val="164"/>
              <w:spacing w:line="360" w:lineRule="exact"/>
              <w:jc w:val="center"/>
              <w:rPr>
                <w:b/>
                <w:color w:val="auto"/>
                <w:sz w:val="24"/>
              </w:rPr>
            </w:pPr>
            <w:r>
              <w:rPr>
                <w:rFonts w:hint="eastAsia"/>
                <w:b/>
                <w:color w:val="auto"/>
                <w:sz w:val="24"/>
              </w:rPr>
              <w:t>分值</w:t>
            </w:r>
          </w:p>
        </w:tc>
      </w:tr>
      <w:tr w14:paraId="36398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trPr>
        <w:tc>
          <w:tcPr>
            <w:tcW w:w="1308" w:type="dxa"/>
            <w:vMerge w:val="restart"/>
            <w:noWrap w:val="0"/>
            <w:vAlign w:val="center"/>
          </w:tcPr>
          <w:p w14:paraId="43706B34">
            <w:pPr>
              <w:pStyle w:val="164"/>
              <w:spacing w:line="360" w:lineRule="exact"/>
              <w:jc w:val="center"/>
              <w:rPr>
                <w:b/>
                <w:bCs/>
                <w:color w:val="auto"/>
                <w:sz w:val="21"/>
                <w:szCs w:val="21"/>
              </w:rPr>
            </w:pPr>
            <w:r>
              <w:rPr>
                <w:rFonts w:hint="eastAsia"/>
                <w:b/>
                <w:bCs/>
                <w:color w:val="auto"/>
                <w:sz w:val="21"/>
                <w:szCs w:val="21"/>
              </w:rPr>
              <w:t>教学实施</w:t>
            </w:r>
          </w:p>
        </w:tc>
        <w:tc>
          <w:tcPr>
            <w:tcW w:w="6562" w:type="dxa"/>
            <w:noWrap w:val="0"/>
            <w:vAlign w:val="center"/>
          </w:tcPr>
          <w:p w14:paraId="6BE86F14">
            <w:pPr>
              <w:pStyle w:val="164"/>
              <w:spacing w:line="360" w:lineRule="exact"/>
              <w:jc w:val="both"/>
              <w:rPr>
                <w:rFonts w:ascii="仿宋" w:hAnsi="仿宋" w:eastAsia="仿宋" w:cs="仿宋"/>
                <w:color w:val="auto"/>
                <w:sz w:val="24"/>
              </w:rPr>
            </w:pPr>
            <w:r>
              <w:rPr>
                <w:rFonts w:hint="eastAsia" w:ascii="仿宋" w:hAnsi="仿宋" w:eastAsia="仿宋" w:cs="仿宋"/>
                <w:color w:val="auto"/>
                <w:sz w:val="24"/>
              </w:rPr>
              <w:t>善于提炼课程蕴含的育人因素，能将思想政治教育和专业知识传授融合，教学内容呈现恰当，教学活动组织合理。</w:t>
            </w:r>
          </w:p>
        </w:tc>
        <w:tc>
          <w:tcPr>
            <w:tcW w:w="900" w:type="dxa"/>
            <w:noWrap w:val="0"/>
            <w:vAlign w:val="center"/>
          </w:tcPr>
          <w:p w14:paraId="117350FE">
            <w:pPr>
              <w:pStyle w:val="164"/>
              <w:spacing w:line="360" w:lineRule="exact"/>
              <w:jc w:val="center"/>
              <w:rPr>
                <w:rFonts w:ascii="仿宋" w:hAnsi="仿宋" w:eastAsia="仿宋" w:cs="仿宋"/>
                <w:color w:val="auto"/>
                <w:sz w:val="24"/>
              </w:rPr>
            </w:pPr>
            <w:r>
              <w:rPr>
                <w:rFonts w:hint="eastAsia" w:ascii="仿宋" w:hAnsi="仿宋" w:eastAsia="仿宋" w:cs="仿宋"/>
                <w:color w:val="auto"/>
                <w:sz w:val="24"/>
              </w:rPr>
              <w:t>20</w:t>
            </w:r>
          </w:p>
        </w:tc>
      </w:tr>
      <w:tr w14:paraId="23BB3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5" w:hRule="atLeast"/>
        </w:trPr>
        <w:tc>
          <w:tcPr>
            <w:tcW w:w="1308" w:type="dxa"/>
            <w:vMerge w:val="continue"/>
            <w:tcBorders>
              <w:top w:val="nil"/>
            </w:tcBorders>
            <w:noWrap w:val="0"/>
            <w:vAlign w:val="center"/>
          </w:tcPr>
          <w:p w14:paraId="5B930164">
            <w:pPr>
              <w:spacing w:line="360" w:lineRule="exact"/>
              <w:ind w:firstLine="422" w:firstLineChars="200"/>
              <w:jc w:val="center"/>
              <w:rPr>
                <w:rFonts w:ascii="Calibri" w:hAnsi="Calibri" w:eastAsia="宋体" w:cs="Times New Roman"/>
                <w:b/>
                <w:bCs/>
                <w:color w:val="auto"/>
                <w:sz w:val="21"/>
                <w:szCs w:val="21"/>
              </w:rPr>
            </w:pPr>
          </w:p>
        </w:tc>
        <w:tc>
          <w:tcPr>
            <w:tcW w:w="6562" w:type="dxa"/>
            <w:noWrap w:val="0"/>
            <w:vAlign w:val="center"/>
          </w:tcPr>
          <w:p w14:paraId="4509F205">
            <w:pPr>
              <w:pStyle w:val="164"/>
              <w:spacing w:line="360" w:lineRule="exact"/>
              <w:jc w:val="both"/>
              <w:rPr>
                <w:rFonts w:ascii="仿宋" w:hAnsi="仿宋" w:eastAsia="仿宋" w:cs="仿宋"/>
                <w:color w:val="auto"/>
                <w:sz w:val="24"/>
              </w:rPr>
            </w:pPr>
            <w:r>
              <w:rPr>
                <w:rFonts w:hint="eastAsia" w:ascii="仿宋" w:hAnsi="仿宋" w:eastAsia="仿宋" w:cs="仿宋"/>
                <w:color w:val="auto"/>
                <w:sz w:val="24"/>
              </w:rPr>
              <w:t>善于综合运用现代信息技术手段和数字资源把思政教育巧妙渗透教学全过程，教学方法运用恰当，教学策略使用有效。</w:t>
            </w:r>
          </w:p>
        </w:tc>
        <w:tc>
          <w:tcPr>
            <w:tcW w:w="900" w:type="dxa"/>
            <w:noWrap w:val="0"/>
            <w:vAlign w:val="center"/>
          </w:tcPr>
          <w:p w14:paraId="2EDF0B58">
            <w:pPr>
              <w:pStyle w:val="164"/>
              <w:spacing w:line="360" w:lineRule="exact"/>
              <w:jc w:val="center"/>
              <w:rPr>
                <w:rFonts w:ascii="仿宋" w:hAnsi="仿宋" w:eastAsia="仿宋" w:cs="仿宋"/>
                <w:color w:val="auto"/>
                <w:sz w:val="24"/>
              </w:rPr>
            </w:pPr>
            <w:r>
              <w:rPr>
                <w:rFonts w:hint="eastAsia" w:ascii="仿宋" w:hAnsi="仿宋" w:eastAsia="仿宋" w:cs="仿宋"/>
                <w:color w:val="auto"/>
                <w:sz w:val="24"/>
              </w:rPr>
              <w:t>15</w:t>
            </w:r>
          </w:p>
        </w:tc>
      </w:tr>
      <w:tr w14:paraId="348F0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1308" w:type="dxa"/>
            <w:vMerge w:val="continue"/>
            <w:tcBorders>
              <w:top w:val="nil"/>
            </w:tcBorders>
            <w:noWrap w:val="0"/>
            <w:vAlign w:val="center"/>
          </w:tcPr>
          <w:p w14:paraId="457C4649">
            <w:pPr>
              <w:spacing w:line="360" w:lineRule="exact"/>
              <w:ind w:firstLine="422" w:firstLineChars="200"/>
              <w:jc w:val="center"/>
              <w:rPr>
                <w:rFonts w:ascii="Calibri" w:hAnsi="Calibri" w:eastAsia="宋体" w:cs="Times New Roman"/>
                <w:b/>
                <w:bCs/>
                <w:color w:val="auto"/>
                <w:sz w:val="21"/>
                <w:szCs w:val="21"/>
              </w:rPr>
            </w:pPr>
          </w:p>
        </w:tc>
        <w:tc>
          <w:tcPr>
            <w:tcW w:w="6562" w:type="dxa"/>
            <w:noWrap w:val="0"/>
            <w:vAlign w:val="center"/>
          </w:tcPr>
          <w:p w14:paraId="05B12944">
            <w:pPr>
              <w:pStyle w:val="164"/>
              <w:spacing w:line="360" w:lineRule="exact"/>
              <w:jc w:val="both"/>
              <w:rPr>
                <w:rFonts w:ascii="仿宋" w:hAnsi="仿宋" w:eastAsia="仿宋" w:cs="仿宋"/>
                <w:color w:val="auto"/>
                <w:sz w:val="24"/>
              </w:rPr>
            </w:pPr>
            <w:r>
              <w:rPr>
                <w:rFonts w:hint="eastAsia" w:ascii="仿宋" w:hAnsi="仿宋" w:eastAsia="仿宋" w:cs="仿宋"/>
                <w:color w:val="auto"/>
                <w:sz w:val="24"/>
              </w:rPr>
              <w:t>注重教学互动，突出学生主体地位，调动学生参与课堂积极性。</w:t>
            </w:r>
          </w:p>
        </w:tc>
        <w:tc>
          <w:tcPr>
            <w:tcW w:w="900" w:type="dxa"/>
            <w:noWrap w:val="0"/>
            <w:vAlign w:val="center"/>
          </w:tcPr>
          <w:p w14:paraId="2A4550E4">
            <w:pPr>
              <w:pStyle w:val="164"/>
              <w:spacing w:line="360" w:lineRule="exact"/>
              <w:jc w:val="center"/>
              <w:rPr>
                <w:rFonts w:ascii="仿宋" w:hAnsi="仿宋" w:eastAsia="仿宋" w:cs="仿宋"/>
                <w:color w:val="auto"/>
                <w:sz w:val="24"/>
              </w:rPr>
            </w:pPr>
            <w:r>
              <w:rPr>
                <w:rFonts w:hint="eastAsia" w:ascii="仿宋" w:hAnsi="仿宋" w:eastAsia="仿宋" w:cs="仿宋"/>
                <w:color w:val="auto"/>
                <w:sz w:val="24"/>
              </w:rPr>
              <w:t>10</w:t>
            </w:r>
          </w:p>
        </w:tc>
      </w:tr>
      <w:tr w14:paraId="6C85E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trPr>
        <w:tc>
          <w:tcPr>
            <w:tcW w:w="1308" w:type="dxa"/>
            <w:vMerge w:val="restart"/>
            <w:noWrap w:val="0"/>
            <w:vAlign w:val="center"/>
          </w:tcPr>
          <w:p w14:paraId="66E0F778">
            <w:pPr>
              <w:pStyle w:val="164"/>
              <w:spacing w:line="360" w:lineRule="exact"/>
              <w:jc w:val="center"/>
              <w:rPr>
                <w:b/>
                <w:bCs/>
                <w:color w:val="auto"/>
                <w:sz w:val="21"/>
                <w:szCs w:val="21"/>
              </w:rPr>
            </w:pPr>
            <w:r>
              <w:rPr>
                <w:rFonts w:hint="eastAsia"/>
                <w:b/>
                <w:bCs/>
                <w:color w:val="auto"/>
                <w:sz w:val="21"/>
                <w:szCs w:val="21"/>
              </w:rPr>
              <w:t>教学效果</w:t>
            </w:r>
          </w:p>
        </w:tc>
        <w:tc>
          <w:tcPr>
            <w:tcW w:w="6562" w:type="dxa"/>
            <w:noWrap w:val="0"/>
            <w:vAlign w:val="center"/>
          </w:tcPr>
          <w:p w14:paraId="399946EC">
            <w:pPr>
              <w:pStyle w:val="164"/>
              <w:spacing w:line="360" w:lineRule="exact"/>
              <w:jc w:val="both"/>
              <w:rPr>
                <w:rFonts w:ascii="仿宋" w:hAnsi="仿宋" w:eastAsia="仿宋" w:cs="仿宋"/>
                <w:color w:val="auto"/>
                <w:sz w:val="24"/>
              </w:rPr>
            </w:pPr>
            <w:r>
              <w:rPr>
                <w:rFonts w:hint="eastAsia" w:ascii="仿宋" w:hAnsi="仿宋" w:eastAsia="仿宋" w:cs="仿宋"/>
                <w:color w:val="auto"/>
                <w:sz w:val="24"/>
              </w:rPr>
              <w:t>注重思想理论教育和价值引领，有效达成教学目标，效果明显。</w:t>
            </w:r>
          </w:p>
        </w:tc>
        <w:tc>
          <w:tcPr>
            <w:tcW w:w="900" w:type="dxa"/>
            <w:noWrap w:val="0"/>
            <w:vAlign w:val="center"/>
          </w:tcPr>
          <w:p w14:paraId="7EC64C2D">
            <w:pPr>
              <w:pStyle w:val="164"/>
              <w:spacing w:line="360" w:lineRule="exact"/>
              <w:jc w:val="center"/>
              <w:rPr>
                <w:rFonts w:ascii="仿宋" w:hAnsi="仿宋" w:eastAsia="仿宋" w:cs="仿宋"/>
                <w:color w:val="auto"/>
                <w:sz w:val="24"/>
              </w:rPr>
            </w:pPr>
            <w:r>
              <w:rPr>
                <w:rFonts w:hint="eastAsia" w:ascii="仿宋" w:hAnsi="仿宋" w:eastAsia="仿宋" w:cs="仿宋"/>
                <w:color w:val="auto"/>
                <w:sz w:val="24"/>
              </w:rPr>
              <w:t>20</w:t>
            </w:r>
          </w:p>
        </w:tc>
      </w:tr>
      <w:tr w14:paraId="7277A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trPr>
        <w:tc>
          <w:tcPr>
            <w:tcW w:w="1308" w:type="dxa"/>
            <w:vMerge w:val="continue"/>
            <w:tcBorders>
              <w:top w:val="nil"/>
            </w:tcBorders>
            <w:noWrap w:val="0"/>
            <w:vAlign w:val="center"/>
          </w:tcPr>
          <w:p w14:paraId="1E8C9CD0">
            <w:pPr>
              <w:spacing w:line="360" w:lineRule="exact"/>
              <w:ind w:firstLine="422" w:firstLineChars="200"/>
              <w:jc w:val="center"/>
              <w:rPr>
                <w:rFonts w:ascii="Calibri" w:hAnsi="Calibri" w:eastAsia="宋体" w:cs="Times New Roman"/>
                <w:b/>
                <w:bCs/>
                <w:color w:val="auto"/>
                <w:sz w:val="21"/>
                <w:szCs w:val="21"/>
              </w:rPr>
            </w:pPr>
          </w:p>
        </w:tc>
        <w:tc>
          <w:tcPr>
            <w:tcW w:w="6562" w:type="dxa"/>
            <w:noWrap w:val="0"/>
            <w:vAlign w:val="center"/>
          </w:tcPr>
          <w:p w14:paraId="0AEC3F55">
            <w:pPr>
              <w:pStyle w:val="164"/>
              <w:spacing w:line="360" w:lineRule="exact"/>
              <w:jc w:val="both"/>
              <w:rPr>
                <w:rFonts w:ascii="仿宋" w:hAnsi="仿宋" w:eastAsia="仿宋" w:cs="仿宋"/>
                <w:color w:val="auto"/>
                <w:sz w:val="24"/>
              </w:rPr>
            </w:pPr>
            <w:r>
              <w:rPr>
                <w:rFonts w:hint="eastAsia" w:ascii="仿宋" w:hAnsi="仿宋" w:eastAsia="仿宋" w:cs="仿宋"/>
                <w:color w:val="auto"/>
                <w:sz w:val="24"/>
              </w:rPr>
              <w:t>课堂教学能结合课程特色挖掘育人因素，课堂实施成效好，特色鲜明，具有较强的示范性。</w:t>
            </w:r>
          </w:p>
        </w:tc>
        <w:tc>
          <w:tcPr>
            <w:tcW w:w="900" w:type="dxa"/>
            <w:noWrap w:val="0"/>
            <w:vAlign w:val="center"/>
          </w:tcPr>
          <w:p w14:paraId="1F2B39BB">
            <w:pPr>
              <w:pStyle w:val="164"/>
              <w:spacing w:line="360" w:lineRule="exact"/>
              <w:jc w:val="center"/>
              <w:rPr>
                <w:rFonts w:ascii="仿宋" w:hAnsi="仿宋" w:eastAsia="仿宋" w:cs="仿宋"/>
                <w:color w:val="auto"/>
                <w:sz w:val="24"/>
              </w:rPr>
            </w:pPr>
            <w:r>
              <w:rPr>
                <w:rFonts w:hint="eastAsia" w:ascii="仿宋" w:hAnsi="仿宋" w:eastAsia="仿宋" w:cs="仿宋"/>
                <w:color w:val="auto"/>
                <w:sz w:val="24"/>
              </w:rPr>
              <w:t>10</w:t>
            </w:r>
          </w:p>
        </w:tc>
      </w:tr>
      <w:tr w14:paraId="25269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7" w:hRule="atLeast"/>
        </w:trPr>
        <w:tc>
          <w:tcPr>
            <w:tcW w:w="1308" w:type="dxa"/>
            <w:noWrap w:val="0"/>
            <w:vAlign w:val="center"/>
          </w:tcPr>
          <w:p w14:paraId="54A73E20">
            <w:pPr>
              <w:pStyle w:val="164"/>
              <w:spacing w:line="360" w:lineRule="exact"/>
              <w:jc w:val="center"/>
              <w:rPr>
                <w:b/>
                <w:bCs/>
                <w:color w:val="auto"/>
                <w:sz w:val="21"/>
                <w:szCs w:val="21"/>
              </w:rPr>
            </w:pPr>
            <w:r>
              <w:rPr>
                <w:rFonts w:hint="eastAsia"/>
                <w:b/>
                <w:bCs/>
                <w:color w:val="auto"/>
                <w:sz w:val="21"/>
                <w:szCs w:val="21"/>
              </w:rPr>
              <w:t>教师素养与创新特色</w:t>
            </w:r>
          </w:p>
        </w:tc>
        <w:tc>
          <w:tcPr>
            <w:tcW w:w="6562" w:type="dxa"/>
            <w:noWrap w:val="0"/>
            <w:vAlign w:val="center"/>
          </w:tcPr>
          <w:p w14:paraId="56BB9FEA">
            <w:pPr>
              <w:pStyle w:val="164"/>
              <w:spacing w:line="360" w:lineRule="exact"/>
              <w:jc w:val="both"/>
              <w:rPr>
                <w:rFonts w:ascii="仿宋" w:hAnsi="仿宋" w:eastAsia="仿宋" w:cs="仿宋"/>
                <w:color w:val="auto"/>
                <w:sz w:val="24"/>
              </w:rPr>
            </w:pPr>
            <w:r>
              <w:rPr>
                <w:rFonts w:hint="eastAsia" w:ascii="仿宋" w:hAnsi="仿宋" w:eastAsia="仿宋" w:cs="仿宋"/>
                <w:color w:val="auto"/>
                <w:sz w:val="24"/>
              </w:rPr>
              <w:t>具有良好的专业素养、科学精神、人文情怀；教态大方，举止得体，精神饱满，综合素质高；个人教学特色突出。</w:t>
            </w:r>
          </w:p>
        </w:tc>
        <w:tc>
          <w:tcPr>
            <w:tcW w:w="900" w:type="dxa"/>
            <w:noWrap w:val="0"/>
            <w:vAlign w:val="center"/>
          </w:tcPr>
          <w:p w14:paraId="7CBAF710">
            <w:pPr>
              <w:pStyle w:val="164"/>
              <w:spacing w:line="360" w:lineRule="exact"/>
              <w:jc w:val="center"/>
              <w:rPr>
                <w:rFonts w:ascii="仿宋" w:hAnsi="仿宋" w:eastAsia="仿宋" w:cs="仿宋"/>
                <w:color w:val="auto"/>
                <w:sz w:val="24"/>
              </w:rPr>
            </w:pPr>
            <w:r>
              <w:rPr>
                <w:rFonts w:hint="eastAsia" w:ascii="仿宋" w:hAnsi="仿宋" w:eastAsia="仿宋" w:cs="仿宋"/>
                <w:color w:val="auto"/>
                <w:sz w:val="24"/>
              </w:rPr>
              <w:t>15</w:t>
            </w:r>
          </w:p>
        </w:tc>
      </w:tr>
      <w:tr w14:paraId="6D54F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9" w:hRule="atLeast"/>
        </w:trPr>
        <w:tc>
          <w:tcPr>
            <w:tcW w:w="1308" w:type="dxa"/>
            <w:noWrap w:val="0"/>
            <w:vAlign w:val="center"/>
          </w:tcPr>
          <w:p w14:paraId="7B8CE323">
            <w:pPr>
              <w:pStyle w:val="164"/>
              <w:spacing w:line="360" w:lineRule="exact"/>
              <w:jc w:val="center"/>
              <w:rPr>
                <w:b/>
                <w:bCs/>
                <w:color w:val="auto"/>
                <w:sz w:val="21"/>
                <w:szCs w:val="21"/>
              </w:rPr>
            </w:pPr>
            <w:r>
              <w:rPr>
                <w:rFonts w:hint="eastAsia"/>
                <w:b/>
                <w:bCs/>
                <w:color w:val="auto"/>
                <w:sz w:val="21"/>
                <w:szCs w:val="21"/>
              </w:rPr>
              <w:t>现场提问</w:t>
            </w:r>
          </w:p>
        </w:tc>
        <w:tc>
          <w:tcPr>
            <w:tcW w:w="6562" w:type="dxa"/>
            <w:noWrap w:val="0"/>
            <w:vAlign w:val="center"/>
          </w:tcPr>
          <w:p w14:paraId="15397C3E">
            <w:pPr>
              <w:pStyle w:val="164"/>
              <w:spacing w:line="360" w:lineRule="exact"/>
              <w:jc w:val="both"/>
              <w:rPr>
                <w:rFonts w:ascii="仿宋" w:hAnsi="仿宋" w:eastAsia="仿宋" w:cs="仿宋"/>
                <w:color w:val="auto"/>
                <w:sz w:val="24"/>
              </w:rPr>
            </w:pPr>
            <w:r>
              <w:rPr>
                <w:rFonts w:hint="eastAsia" w:ascii="仿宋" w:hAnsi="仿宋" w:eastAsia="仿宋" w:cs="仿宋"/>
                <w:color w:val="auto"/>
                <w:sz w:val="24"/>
              </w:rPr>
              <w:t>回答评委提出的问题，条理清晰，抓住要点，观点正确，理由充分，见解独到，针对性强。</w:t>
            </w:r>
          </w:p>
        </w:tc>
        <w:tc>
          <w:tcPr>
            <w:tcW w:w="900" w:type="dxa"/>
            <w:noWrap w:val="0"/>
            <w:vAlign w:val="center"/>
          </w:tcPr>
          <w:p w14:paraId="31956CF0">
            <w:pPr>
              <w:pStyle w:val="164"/>
              <w:spacing w:line="360" w:lineRule="exact"/>
              <w:jc w:val="center"/>
              <w:rPr>
                <w:rFonts w:ascii="仿宋" w:hAnsi="仿宋" w:eastAsia="仿宋" w:cs="仿宋"/>
                <w:color w:val="auto"/>
                <w:sz w:val="24"/>
              </w:rPr>
            </w:pPr>
            <w:r>
              <w:rPr>
                <w:rFonts w:hint="eastAsia" w:ascii="仿宋" w:hAnsi="仿宋" w:eastAsia="仿宋" w:cs="仿宋"/>
                <w:color w:val="auto"/>
                <w:sz w:val="24"/>
              </w:rPr>
              <w:t>10</w:t>
            </w:r>
          </w:p>
        </w:tc>
      </w:tr>
    </w:tbl>
    <w:p w14:paraId="563EE3CE">
      <w:pPr>
        <w:rPr>
          <w:rFonts w:hint="eastAsia" w:ascii="Calibri" w:hAnsi="Calibri" w:eastAsia="等线" w:cs="Times New Roman"/>
          <w:color w:val="auto"/>
          <w:lang w:eastAsia="zh-CN"/>
        </w:rPr>
      </w:pPr>
    </w:p>
    <w:p w14:paraId="4596AEC5">
      <w:pPr>
        <w:rPr>
          <w:rFonts w:hint="default" w:ascii="黑体" w:hAnsi="黑体" w:eastAsia="黑体" w:cs="黑体"/>
          <w:b w:val="0"/>
          <w:sz w:val="32"/>
          <w:szCs w:val="32"/>
          <w:lang w:val="en-US" w:eastAsia="zh-CN"/>
        </w:rPr>
      </w:pPr>
    </w:p>
    <w:sectPr>
      <w:pgSz w:w="11906" w:h="16838"/>
      <w:pgMar w:top="2098" w:right="1474" w:bottom="1984" w:left="1587"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ＭＳ ゴシック">
    <w:altName w:val="仓耳玄三M W05"/>
    <w:panose1 w:val="00000000000000000000"/>
    <w:charset w:val="80"/>
    <w:family w:val="modern"/>
    <w:pitch w:val="default"/>
    <w:sig w:usb0="00000000" w:usb1="00000000" w:usb2="00000010" w:usb3="00000000" w:csb0="00020000" w:csb1="00000000"/>
  </w:font>
  <w:font w:name="仓耳玄三M W05">
    <w:panose1 w:val="02020400000000000000"/>
    <w:charset w:val="80"/>
    <w:family w:val="auto"/>
    <w:pitch w:val="default"/>
    <w:sig w:usb0="800002BF" w:usb1="184D64F8" w:usb2="00000012" w:usb3="00000000" w:csb0="00020001"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仓耳玄三M W05"/>
    <w:panose1 w:val="00000000000000000000"/>
    <w:charset w:val="80"/>
    <w:family w:val="roman"/>
    <w:pitch w:val="default"/>
    <w:sig w:usb0="00000000" w:usb1="00000000" w:usb2="00000010" w:usb3="00000000" w:csb0="00020000" w:csb1="00000000"/>
  </w:font>
  <w:font w:name="Cambria">
    <w:panose1 w:val="02040503050406030204"/>
    <w:charset w:val="00"/>
    <w:family w:val="auto"/>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ＭＳ ゴシック">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ＭＳ 明朝">
    <w:altName w:val="ksdb"/>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3A1C1">
    <w:pPr>
      <w:pStyle w:val="24"/>
      <w:spacing w:before="0" w:after="0"/>
      <w:jc w:val="center"/>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14993">
                          <w:pPr>
                            <w:pStyle w:val="24"/>
                            <w:spacing w:before="0" w:after="0"/>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4D14993">
                    <w:pPr>
                      <w:pStyle w:val="24"/>
                      <w:spacing w:before="0" w:after="0"/>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68B2A44"/>
    <w:rsid w:val="0DFD7CB6"/>
    <w:rsid w:val="100A2E75"/>
    <w:rsid w:val="10D33C50"/>
    <w:rsid w:val="15014960"/>
    <w:rsid w:val="221D0379"/>
    <w:rsid w:val="29B425BA"/>
    <w:rsid w:val="2D2028CB"/>
    <w:rsid w:val="31BA0817"/>
    <w:rsid w:val="36FD79CA"/>
    <w:rsid w:val="3CB46D7D"/>
    <w:rsid w:val="4E4B4D1D"/>
    <w:rsid w:val="548C6BED"/>
    <w:rsid w:val="5C3A650C"/>
    <w:rsid w:val="61D46D62"/>
    <w:rsid w:val="63493776"/>
    <w:rsid w:val="69FF760C"/>
    <w:rsid w:val="6DCD62FA"/>
    <w:rsid w:val="786C6182"/>
    <w:rsid w:val="79943D96"/>
    <w:rsid w:val="7AEF309B"/>
    <w:rsid w:val="7C1746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Table Paragraph"/>
    <w:basedOn w:val="1"/>
    <w:qFormat/>
    <w:uiPriority w:val="1"/>
    <w:rPr>
      <w:rFonts w:ascii="等线" w:hAnsi="等线" w:eastAsia="等线" w:cs="Times New Roman"/>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1720</Words>
  <Characters>1825</Characters>
  <Lines>0</Lines>
  <Paragraphs>0</Paragraphs>
  <TotalTime>2</TotalTime>
  <ScaleCrop>false</ScaleCrop>
  <LinksUpToDate>false</LinksUpToDate>
  <CharactersWithSpaces>1831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佳玉啦</cp:lastModifiedBy>
  <dcterms:modified xsi:type="dcterms:W3CDTF">2026-09-17T04:01:54Z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eyJoZGlkIjoiZDQyNjgzMTljNjgxY2U2NDU4MjQ0NTkxOWZjMzBmNDkiLCJ1c2VySWQiOiIyNzE3NDY2MDYifQ==</vt:lpwstr>
  </property>
  <property fmtid="{D5CDD505-2E9C-101B-9397-08002B2CF9AE}" pid="3" name="KSOProductBuildVer">
    <vt:lpwstr>2052-12.1.0.28505</vt:lpwstr>
  </property>
  <property fmtid="{D5CDD505-2E9C-101B-9397-08002B2CF9AE}" pid="4" name="ICV">
    <vt:lpwstr>D5988B846E324A329CC08EB297D420E9_12</vt:lpwstr>
  </property>
</Properties>
</file>